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3ADEF" w14:textId="6AEBCF68" w:rsidR="000607D8" w:rsidRDefault="000607D8" w:rsidP="00081D9C"/>
    <w:p w14:paraId="25FEDD9D" w14:textId="77777777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(Feb 2023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Apr 2023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reviewed</w:t>
            </w:r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requests approved</w:t>
            </w:r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7DDBDBC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>
        <w:rPr>
          <w:rFonts w:ascii="Arial" w:hAnsi="Arial" w:cs="Arial"/>
          <w:sz w:val="24"/>
          <w:szCs w:val="24"/>
          <w:u w:val="single"/>
        </w:rPr>
        <w:t xml:space="preserve"> (note projects are not reviewed 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00C48A8A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F038992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PDR066 – Thein – Macrolides in viral pneumonia</w:t>
      </w:r>
    </w:p>
    <w:p w14:paraId="15C14F11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2FC2B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PDR070 – </w:t>
      </w:r>
      <w:proofErr w:type="spellStart"/>
      <w:r>
        <w:rPr>
          <w:rFonts w:ascii="Arial" w:hAnsi="Arial" w:cs="Arial"/>
          <w:sz w:val="24"/>
          <w:szCs w:val="24"/>
        </w:rPr>
        <w:t>Kolanu</w:t>
      </w:r>
      <w:proofErr w:type="spellEnd"/>
      <w:r>
        <w:rPr>
          <w:rFonts w:ascii="Arial" w:hAnsi="Arial" w:cs="Arial"/>
          <w:sz w:val="24"/>
          <w:szCs w:val="24"/>
        </w:rPr>
        <w:t xml:space="preserve"> – Outcomes of influenza related hospitalisations in smokers compared to non-smokers</w:t>
      </w:r>
    </w:p>
    <w:p w14:paraId="7190D1EA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5BD1E51C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PDR073 – Pankhurst – Surgical assessment virtual ward evaluation</w:t>
      </w:r>
    </w:p>
    <w:p w14:paraId="1E4F3A9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8871E6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PDR071 – Atkin – Investigating Digoxin as a novel </w:t>
      </w:r>
      <w:proofErr w:type="spellStart"/>
      <w:r>
        <w:rPr>
          <w:rFonts w:ascii="Arial" w:hAnsi="Arial" w:cs="Arial"/>
          <w:sz w:val="24"/>
          <w:szCs w:val="24"/>
        </w:rPr>
        <w:t>senolytic</w:t>
      </w:r>
      <w:proofErr w:type="spellEnd"/>
      <w:r>
        <w:rPr>
          <w:rFonts w:ascii="Arial" w:hAnsi="Arial" w:cs="Arial"/>
          <w:sz w:val="24"/>
          <w:szCs w:val="24"/>
        </w:rPr>
        <w:t xml:space="preserve"> – outcomes in hospitalised older adults with Community Acquired Pneumonia </w:t>
      </w:r>
    </w:p>
    <w:p w14:paraId="6D866EBA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5952BE2B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PDR074 – Mollan – Investigation of headache in the Emergency Department at University Hospitals Birmingham NHS Foundation Trust.</w:t>
      </w:r>
    </w:p>
    <w:p w14:paraId="56566757" w14:textId="77777777" w:rsidR="00670206" w:rsidRPr="003E1F07" w:rsidRDefault="00670206" w:rsidP="00670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747C7" w14:textId="77777777" w:rsidR="00670206" w:rsidRPr="003E1F07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will be available on our website. </w:t>
      </w: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C8F1C7" w14:textId="77777777" w:rsidR="00670206" w:rsidRPr="00B17E23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>Other Updates:</w:t>
      </w:r>
    </w:p>
    <w:p w14:paraId="17F057EE" w14:textId="77777777" w:rsidR="00670206" w:rsidRDefault="00670206" w:rsidP="00670206">
      <w:pPr>
        <w:pStyle w:val="PlainText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PPIE Group have been involved in the development and co-writing of a new patient facing leaflet that will be used in our Same Day Emergency Care department within the hospital. This forms part of a larger project looking at improving patient flows through acute medical departments through better patient selection.</w:t>
      </w:r>
    </w:p>
    <w:p w14:paraId="3D0FE632" w14:textId="77777777" w:rsidR="00670206" w:rsidRPr="00081D9C" w:rsidRDefault="00670206" w:rsidP="00081D9C"/>
    <w:sectPr w:rsidR="00670206" w:rsidRPr="00081D9C" w:rsidSect="005757C9">
      <w:headerReference w:type="default" r:id="rId9"/>
      <w:footerReference w:type="default" r:id="rId10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165C9" w14:textId="77777777" w:rsidR="00B848FE" w:rsidRDefault="00B848FE" w:rsidP="00D12B49">
      <w:pPr>
        <w:spacing w:after="0" w:line="240" w:lineRule="auto"/>
      </w:pPr>
      <w:r>
        <w:separator/>
      </w:r>
    </w:p>
  </w:endnote>
  <w:endnote w:type="continuationSeparator" w:id="0">
    <w:p w14:paraId="2648CD3B" w14:textId="77777777" w:rsidR="00B848FE" w:rsidRDefault="00B848FE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13E4C" w14:textId="77777777" w:rsidR="00B848FE" w:rsidRDefault="00B848FE" w:rsidP="00D12B49">
      <w:pPr>
        <w:spacing w:after="0" w:line="240" w:lineRule="auto"/>
      </w:pPr>
      <w:r>
        <w:separator/>
      </w:r>
    </w:p>
  </w:footnote>
  <w:footnote w:type="continuationSeparator" w:id="0">
    <w:p w14:paraId="292AFC6B" w14:textId="77777777" w:rsidR="00B848FE" w:rsidRDefault="00B848FE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F087" w14:textId="61692BFB" w:rsidR="009F0BEE" w:rsidRPr="00FC3B34" w:rsidRDefault="00074F82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281B82DC">
          <wp:simplePos x="0" y="0"/>
          <wp:positionH relativeFrom="margin">
            <wp:posOffset>4113372</wp:posOffset>
          </wp:positionH>
          <wp:positionV relativeFrom="paragraph">
            <wp:posOffset>-108585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725" cy="51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3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6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27"/>
  </w:num>
  <w:num w:numId="5">
    <w:abstractNumId w:val="7"/>
  </w:num>
  <w:num w:numId="6">
    <w:abstractNumId w:val="0"/>
  </w:num>
  <w:num w:numId="7">
    <w:abstractNumId w:val="28"/>
  </w:num>
  <w:num w:numId="8">
    <w:abstractNumId w:val="9"/>
  </w:num>
  <w:num w:numId="9">
    <w:abstractNumId w:val="45"/>
  </w:num>
  <w:num w:numId="10">
    <w:abstractNumId w:val="24"/>
  </w:num>
  <w:num w:numId="11">
    <w:abstractNumId w:val="39"/>
  </w:num>
  <w:num w:numId="12">
    <w:abstractNumId w:val="14"/>
  </w:num>
  <w:num w:numId="13">
    <w:abstractNumId w:val="4"/>
  </w:num>
  <w:num w:numId="14">
    <w:abstractNumId w:val="23"/>
  </w:num>
  <w:num w:numId="15">
    <w:abstractNumId w:val="42"/>
  </w:num>
  <w:num w:numId="16">
    <w:abstractNumId w:val="46"/>
  </w:num>
  <w:num w:numId="17">
    <w:abstractNumId w:val="35"/>
  </w:num>
  <w:num w:numId="18">
    <w:abstractNumId w:val="17"/>
  </w:num>
  <w:num w:numId="19">
    <w:abstractNumId w:val="16"/>
  </w:num>
  <w:num w:numId="20">
    <w:abstractNumId w:val="33"/>
  </w:num>
  <w:num w:numId="21">
    <w:abstractNumId w:val="43"/>
  </w:num>
  <w:num w:numId="22">
    <w:abstractNumId w:val="47"/>
  </w:num>
  <w:num w:numId="23">
    <w:abstractNumId w:val="8"/>
  </w:num>
  <w:num w:numId="24">
    <w:abstractNumId w:val="26"/>
  </w:num>
  <w:num w:numId="25">
    <w:abstractNumId w:val="34"/>
  </w:num>
  <w:num w:numId="26">
    <w:abstractNumId w:val="30"/>
  </w:num>
  <w:num w:numId="27">
    <w:abstractNumId w:val="25"/>
  </w:num>
  <w:num w:numId="28">
    <w:abstractNumId w:val="15"/>
  </w:num>
  <w:num w:numId="29">
    <w:abstractNumId w:val="37"/>
  </w:num>
  <w:num w:numId="30">
    <w:abstractNumId w:val="41"/>
  </w:num>
  <w:num w:numId="31">
    <w:abstractNumId w:val="20"/>
  </w:num>
  <w:num w:numId="32">
    <w:abstractNumId w:val="22"/>
  </w:num>
  <w:num w:numId="33">
    <w:abstractNumId w:val="11"/>
  </w:num>
  <w:num w:numId="34">
    <w:abstractNumId w:val="13"/>
  </w:num>
  <w:num w:numId="35">
    <w:abstractNumId w:val="21"/>
  </w:num>
  <w:num w:numId="36">
    <w:abstractNumId w:val="32"/>
  </w:num>
  <w:num w:numId="37">
    <w:abstractNumId w:val="10"/>
  </w:num>
  <w:num w:numId="38">
    <w:abstractNumId w:val="40"/>
  </w:num>
  <w:num w:numId="39">
    <w:abstractNumId w:val="19"/>
  </w:num>
  <w:num w:numId="40">
    <w:abstractNumId w:val="44"/>
  </w:num>
  <w:num w:numId="41">
    <w:abstractNumId w:val="18"/>
  </w:num>
  <w:num w:numId="42">
    <w:abstractNumId w:val="38"/>
  </w:num>
  <w:num w:numId="43">
    <w:abstractNumId w:val="31"/>
  </w:num>
  <w:num w:numId="44">
    <w:abstractNumId w:val="2"/>
  </w:num>
  <w:num w:numId="45">
    <w:abstractNumId w:val="29"/>
  </w:num>
  <w:num w:numId="46">
    <w:abstractNumId w:val="36"/>
  </w:num>
  <w:num w:numId="47">
    <w:abstractNumId w:val="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3B76"/>
    <w:rsid w:val="00264F62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AAB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4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4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2</cp:revision>
  <cp:lastPrinted>2020-04-19T20:13:00Z</cp:lastPrinted>
  <dcterms:created xsi:type="dcterms:W3CDTF">2023-04-28T10:53:00Z</dcterms:created>
  <dcterms:modified xsi:type="dcterms:W3CDTF">2023-04-28T10:53:00Z</dcterms:modified>
</cp:coreProperties>
</file>